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06.09.2022 № 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07.09.2022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зачете результатов, полученных обучающимися в других организациях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 зачете результатов, полученных обучающимися в других организациях (далее — Положение) определяет особенности процедуры зачета образовательных результатов обучающихся, полученных в других организациях, и порядок его оформления в 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 и Порядком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 других организациях, осуществляющих образовательную деятельность,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России, Минпросвещения России от 30.07.2020 № 845/369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Зачет результатов освоения учебных предметов, курсов, дисциплин (модулей), практики, дополнительных образовательных программ в других организациях, осуществляющих образовательную деятельность (далее — зачет результатов), могут получить обучающиеся по основным образовательным программам начального общего, основного общего, среднего общего образования и дополнительным образовательным программам, реализуемым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Зачету не подлежат результаты итоговой (государственной итоговой) аттестации.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Условия зачета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Зачет осуществляется по заявлению обучающегося или родителей (законных представителей) несовершеннолетнего обучающегося, составленного по форме, указанной в приложении к Положению, на основании документов, подтверждающих результаты пройденного обучения: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документа об образовании и (или) о квалификации, в том числе об образовании и (или) о квалификации, полученных в иностранном государстве;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документа об обучении, в том числе справки об обучении или о периоде обучения, документа, выданного иностранными организациями (справки, академической справки и иного документа).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Заявление о зачете результатов и документы, подтверждающие результаты пройденного обучения, подаются одним из следующих способов: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 в школу;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через операторов почтовой связи общего пользования заказным письмом с уведомлением о вручении;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электронной форме (документ на бумажном носителе, преобразованный в электронную форму путем сканирования или фотографирования с обеспечением машиночитаемого распознавания его реквизитов) посредством электронной почты школы или с использованием функционала официального сайта школы в сети Интернет или иным способом с использованием сети Интернет.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Документы, полученные в иностранных организациях, предоставляются на русском языке или вместе с нотариально заверенным переводом на русский язык.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Если документ, подтверждающий получение иностранного образования, не подпадает под действие международных договоров о взаимном признании, то подлежит процедуре признания, осуществляемой федеральным органом исполнительной власти, осуществляющим функции по контролю и надзору в сфере образования. В таком случае иностранный документ принимается вместе с документом, выданным по итогам процедуры признания иностранного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Результаты, подтвержденные иностранными документами об обучении, могут подлежать зачету только в рамках </w:t>
      </w:r>
      <w:r>
        <w:rPr>
          <w:rFonts w:hAnsi="Times New Roman" w:cs="Times New Roman"/>
          <w:color w:val="000000"/>
          <w:sz w:val="24"/>
          <w:szCs w:val="24"/>
        </w:rPr>
        <w:t>курсов внеурочной деятельности, учебного предмета «Иностранный язык» или дополнительных образовательных программ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Процедура зачета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Зачет осуществляется посредством сопоставления планируемых результатов по соответствующей части (учебному предмету, курсу, дисциплине (модулю), практике) образовательной программы, которую осваивает обучающийся в школе (далее — часть осваиваемой образовательной программы), и результатов пройденного обучения, определенных освоенной ранее обучающимся образовательной программой (ее частью) другой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Сопоставление планируемых результатов обучения с результатами пройденного обучения, а также проверку подлинности предоставленных документов осуществляет </w:t>
      </w:r>
      <w:r>
        <w:rPr>
          <w:rFonts w:hAnsi="Times New Roman" w:cs="Times New Roman"/>
          <w:color w:val="000000"/>
          <w:sz w:val="24"/>
          <w:szCs w:val="24"/>
        </w:rPr>
        <w:t>заместитель директора по учебной работе</w:t>
      </w:r>
      <w:r>
        <w:rPr>
          <w:rFonts w:hAnsi="Times New Roman" w:cs="Times New Roman"/>
          <w:color w:val="000000"/>
          <w:sz w:val="24"/>
          <w:szCs w:val="24"/>
        </w:rPr>
        <w:t xml:space="preserve"> не позднее </w:t>
      </w:r>
      <w:r>
        <w:rPr>
          <w:rFonts w:hAnsi="Times New Roman" w:cs="Times New Roman"/>
          <w:color w:val="000000"/>
          <w:sz w:val="24"/>
          <w:szCs w:val="24"/>
        </w:rPr>
        <w:t>пяти 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Обоснованные выводы заместителя по учебной работе, сделанные по результатам сопоставления планируемых результатов обучения с результатами пройденного обучения, в том числе решение об осуществлении зачета результатов обучающегося или об отказе в зачете, привлечении педагогического совета к процедуре проведения зачета, фиксируются письменно в </w:t>
      </w:r>
      <w:r>
        <w:rPr>
          <w:rFonts w:hAnsi="Times New Roman" w:cs="Times New Roman"/>
          <w:color w:val="000000"/>
          <w:sz w:val="24"/>
          <w:szCs w:val="24"/>
        </w:rPr>
        <w:t>справке</w:t>
      </w:r>
      <w:r>
        <w:rPr>
          <w:rFonts w:hAnsi="Times New Roman" w:cs="Times New Roman"/>
          <w:color w:val="000000"/>
          <w:sz w:val="24"/>
          <w:szCs w:val="24"/>
        </w:rPr>
        <w:t xml:space="preserve">, которая направляется директору </w:t>
      </w:r>
      <w:r>
        <w:rPr>
          <w:rFonts w:hAnsi="Times New Roman" w:cs="Times New Roman"/>
          <w:color w:val="000000"/>
          <w:sz w:val="24"/>
          <w:szCs w:val="24"/>
        </w:rPr>
        <w:t>в этот же день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Зачет результатов возможен при одновременном выполнении следующих условий: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предмет, курс, дисциплина (модуль), практика (далее — учебный предмет), изученные в другой организации, входят в состав учебного плана образовательной программы школы;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название учебного предмета, изученного в другой организации, совпадает с названием учебного предмета в учебном плане образовательной программы школы и (или) совпадают их планируемые результаты освоения;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отведенное на изучение учебного предмета, изученного в другой организации, составляет не менее 85 процентов от количества часов, отведенного на его изучение в учебном плане образовательной программы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Обучающимся засчитываются результаты освоения ими дополнительных общеразвивающих и предпрофессиональных образовательных программ в области искусств по направлению «Изобразительное искусство» — по учебному предмету «Изобразительное искусство», а по направлению «Музыкальное искусство» — по учебному предмету «Музыка».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Обучающимся по основным образовательным программам начального общего, основного общего и среднего общего образования засчитываются результаты освоения ими дополнительных общеразвивающих и предпрофессиональных образовательных программ в области физической культуры и спорта в организациях, осуществляющих физкультурно-спортивную и образовательную деятельность, по учебному предмету «Физическая культура» при успешном выполнении программы спортивной подготовки (контрольно-переводное тестирование, нормативы и разряды).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 случае несовпадения планируемых результатов обучения с результатами обучения по соответствующим учебным предметам, полученными в другой организации, более чем на 5 процентов и (или) при недостаточном объеме часов более чем на 10 процентов решение о зачете результатов принимается по согласованию с педагогическим советом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С целью установления соответствия школа проводит оценивание фактического достижения обучающимся планируемых результатов части осваиваемой образовательной программы (далее — оценивание) в случаях: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несовпадения школьной системы оценивания с системой оценивания результатов другой организации, в том числе применение иной системы балльного оценивания или в случаях безбалльного оценивания результатов;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невозможности однозначно сопоставить результаты освоения учебного предмета с планируемыми результатами по соответствующему учебному предмету образовательной программы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Оценивание проводит </w:t>
      </w:r>
      <w:r>
        <w:rPr>
          <w:rFonts w:hAnsi="Times New Roman" w:cs="Times New Roman"/>
          <w:color w:val="000000"/>
          <w:sz w:val="24"/>
          <w:szCs w:val="24"/>
        </w:rPr>
        <w:t>комиссия, созданная педагогическим советом школы</w:t>
      </w:r>
      <w:r>
        <w:rPr>
          <w:rFonts w:hAnsi="Times New Roman" w:cs="Times New Roman"/>
          <w:color w:val="000000"/>
          <w:sz w:val="24"/>
          <w:szCs w:val="24"/>
        </w:rPr>
        <w:t xml:space="preserve">, в составе не менее </w:t>
      </w:r>
      <w:r>
        <w:rPr>
          <w:rFonts w:hAnsi="Times New Roman" w:cs="Times New Roman"/>
          <w:color w:val="000000"/>
          <w:sz w:val="24"/>
          <w:szCs w:val="24"/>
        </w:rPr>
        <w:t>трех 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пяти 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 привлечении педагогического совета к процедуре проведения зачета.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Комиссия, указанная в пункте 3.9. Положения, вправе проводить оценивание в формах промежуточной аттестации, предусмотренных образовательной программой школы по соответствующему учебному предмету.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Результаты оценивания оформляются протоколом, который подписывают все члены комиссии, проводившие оценивание. В протоколе также указывается решение комиссии — произвести зачет результатов обучающегося или отказать в зачете.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Решение о зачете результатов утверждается приказом директора школы не позднее </w:t>
      </w:r>
      <w:r>
        <w:rPr>
          <w:rFonts w:hAnsi="Times New Roman" w:cs="Times New Roman"/>
          <w:color w:val="000000"/>
          <w:sz w:val="24"/>
          <w:szCs w:val="24"/>
        </w:rPr>
        <w:t>трех 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 зачете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 Зачтенные результаты пройденного обучения учитываются в качестве результатов промежуточной аттестации по соответствующей части осваиваемой образовательной программы, в том числе с выставлением отметок «3», «4», «5».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 В случае несогласия обучающегося, родителей (законных представителей) несовершеннолетнего обучающегося с итогами процедуры зачета заявление о зачете результатов может быть отозвано. Об отзыве заявления о зачете обучающийся, родитель (законный представитель) несовершеннолетнего обучающегося подает соответствующее заявление. В этом случае школа проводит промежуточную аттестацию обучающегося в форме и порядке, предусмотренных образовательной программой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 Заявление(я) обучающегося, родителей (законных представителей) несовершеннолетнего обучающегося, приказы директора о зачете/отказе в зачете вместе с решением о зачете/отказе в зачете и документами, предоставленными обучающимся, родителями (законными представителями) несовершеннолетнего обучающегося, подлежат хранению в личном деле обучающегося.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Отказ в зачете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установлении несоответствия результатов пройденного обучения по освоенной ранее обучающимся образовательной программе (ее части) требованиям к планируемым результатам обучения по соответствующей части осваиваемой образовательной программы школа отказывает обучающемуся в зачете.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Решение об отказе утверждается приказом директора не позднее </w:t>
      </w:r>
      <w:r>
        <w:rPr>
          <w:rFonts w:hAnsi="Times New Roman" w:cs="Times New Roman"/>
          <w:color w:val="000000"/>
          <w:sz w:val="24"/>
          <w:szCs w:val="24"/>
        </w:rPr>
        <w:t>трех 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об отказе в зачете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Приказ директора, указанный в пункте 4.2. Положения, с приложением решения об отказе в зачете результатов направляется обучающемуся или родителю (законному представителю) несовершеннолетнего обучающегося, в том числе с помощью сети Интернет, в течение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рабочих </w:t>
      </w:r>
      <w:r>
        <w:rPr>
          <w:rFonts w:hAnsi="Times New Roman" w:cs="Times New Roman"/>
          <w:color w:val="000000"/>
          <w:sz w:val="24"/>
          <w:szCs w:val="24"/>
        </w:rPr>
        <w:t>дней с даты издания приказа директора.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Перевод на индивидуальный учебный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Обучающийся, которому произведен зачет, переводится на обучение по индивидуальному учебному плану, в том числе на ускоренное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Переход на обучение по индивидуальному учебному плану утверждается приказом директора после проведения зачета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Школа уведомляет обучающегося или родителя (законного представителя) несовершеннолетнего обучающегося о переходе на обучение по индивидуальному учебному плану в течение </w:t>
      </w:r>
      <w:r>
        <w:rPr>
          <w:rFonts w:hAnsi="Times New Roman" w:cs="Times New Roman"/>
          <w:color w:val="000000"/>
          <w:sz w:val="24"/>
          <w:szCs w:val="24"/>
        </w:rPr>
        <w:t>двух 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издания приказа директора, указанного в пункте 5.2.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При составлении индивидуального учебного плана в него не включаются учебные предметы, результаты по которым школа зачла в качестве промежуточной аттестации.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 Положению о зачете результатов,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полученных обучающимися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других организациях,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утв. приказом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21.10.2020</w:t>
      </w:r>
      <w:r>
        <w:rPr>
          <w:rFonts w:hAnsi="Times New Roman" w:cs="Times New Roman"/>
          <w:color w:val="000000"/>
          <w:sz w:val="24"/>
          <w:szCs w:val="24"/>
        </w:rPr>
        <w:t xml:space="preserve"> № </w:t>
      </w:r>
      <w:r>
        <w:rPr>
          <w:rFonts w:hAnsi="Times New Roman" w:cs="Times New Roman"/>
          <w:color w:val="000000"/>
          <w:sz w:val="24"/>
          <w:szCs w:val="24"/>
        </w:rPr>
        <w:t>152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119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Иванову Ивану Ивановичу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Журавлевой Ольги Петровны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+7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(123) 456-78-90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zhuravlevaop@mail.ru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зачесть </w:t>
      </w:r>
      <w:r>
        <w:rPr>
          <w:rFonts w:hAnsi="Times New Roman" w:cs="Times New Roman"/>
          <w:color w:val="000000"/>
          <w:sz w:val="24"/>
          <w:szCs w:val="24"/>
        </w:rPr>
        <w:t>моему сыну, Журавлеву Петру Ивановичу, 31.03.2011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обучающ</w:t>
      </w:r>
      <w:r>
        <w:rPr>
          <w:rFonts w:hAnsi="Times New Roman" w:cs="Times New Roman"/>
          <w:color w:val="000000"/>
          <w:sz w:val="24"/>
          <w:szCs w:val="24"/>
        </w:rPr>
        <w:t>емуся 4 «Б»</w:t>
      </w:r>
      <w:r>
        <w:rPr>
          <w:rFonts w:hAnsi="Times New Roman" w:cs="Times New Roman"/>
          <w:color w:val="000000"/>
          <w:sz w:val="24"/>
          <w:szCs w:val="24"/>
        </w:rPr>
        <w:t xml:space="preserve"> класса, результаты освоения </w:t>
      </w:r>
      <w:r>
        <w:rPr>
          <w:rFonts w:hAnsi="Times New Roman" w:cs="Times New Roman"/>
          <w:color w:val="000000"/>
          <w:sz w:val="24"/>
          <w:szCs w:val="24"/>
        </w:rPr>
        <w:t>дополнительной предпрофессиональной образовательной программы в области искусства «Фортепиано»</w:t>
      </w:r>
      <w:r>
        <w:rPr>
          <w:rFonts w:hAnsi="Times New Roman" w:cs="Times New Roman"/>
          <w:color w:val="000000"/>
          <w:sz w:val="24"/>
          <w:szCs w:val="24"/>
        </w:rPr>
        <w:t xml:space="preserve"> в </w:t>
      </w:r>
      <w:r>
        <w:rPr>
          <w:rFonts w:hAnsi="Times New Roman" w:cs="Times New Roman"/>
          <w:color w:val="000000"/>
          <w:sz w:val="24"/>
          <w:szCs w:val="24"/>
        </w:rPr>
        <w:t>Муниципальном бюджетном учреждении дополнительного образования города Энска «Детская музыкальная школа № 1»</w:t>
      </w:r>
      <w:r>
        <w:rPr>
          <w:rFonts w:hAnsi="Times New Roman" w:cs="Times New Roman"/>
          <w:color w:val="000000"/>
          <w:sz w:val="24"/>
          <w:szCs w:val="24"/>
        </w:rPr>
        <w:t xml:space="preserve"> по учебному предмету </w:t>
      </w:r>
      <w:r>
        <w:rPr>
          <w:rFonts w:hAnsi="Times New Roman" w:cs="Times New Roman"/>
          <w:color w:val="000000"/>
          <w:sz w:val="24"/>
          <w:szCs w:val="24"/>
        </w:rPr>
        <w:t>«Музыка»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 справка об обучении в </w:t>
      </w:r>
      <w:r>
        <w:rPr>
          <w:rFonts w:hAnsi="Times New Roman" w:cs="Times New Roman"/>
          <w:color w:val="000000"/>
          <w:sz w:val="24"/>
          <w:szCs w:val="24"/>
        </w:rPr>
        <w:t>МБУДО «Детская музыкальная школа № 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Положением о зачете результатов, полученных обучающимися в других 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утвержденным приказом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от </w:t>
      </w:r>
      <w:r>
        <w:rPr>
          <w:rFonts w:hAnsi="Times New Roman" w:cs="Times New Roman"/>
          <w:color w:val="000000"/>
          <w:sz w:val="24"/>
          <w:szCs w:val="24"/>
        </w:rPr>
        <w:t>21.10.2020</w:t>
      </w:r>
      <w:r>
        <w:rPr>
          <w:rFonts w:hAnsi="Times New Roman" w:cs="Times New Roman"/>
          <w:color w:val="000000"/>
          <w:sz w:val="24"/>
          <w:szCs w:val="24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</w:rPr>
        <w:t> 152</w:t>
      </w:r>
      <w:r>
        <w:rPr>
          <w:rFonts w:hAnsi="Times New Roman" w:cs="Times New Roman"/>
          <w:color w:val="000000"/>
          <w:sz w:val="24"/>
          <w:szCs w:val="24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Журавлева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О.П. Журавлева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c52dce2de5448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